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_GBK" w:hAnsi="方正小标宋_GBK" w:eastAsia="方正小标宋_GBK" w:cs="方正小标宋_GBK"/>
          <w:i w:val="0"/>
          <w:caps w:val="0"/>
          <w:color w:val="333333"/>
          <w:spacing w:val="0"/>
          <w:sz w:val="30"/>
          <w:szCs w:val="30"/>
          <w:u w:val="none"/>
        </w:rPr>
      </w:pPr>
      <w:r>
        <w:rPr>
          <w:rFonts w:hint="eastAsia" w:ascii="方正小标宋_GBK" w:hAnsi="方正小标宋_GBK" w:eastAsia="方正小标宋_GBK" w:cs="方正小标宋_GBK"/>
          <w:i w:val="0"/>
          <w:caps w:val="0"/>
          <w:color w:val="333333"/>
          <w:spacing w:val="0"/>
          <w:sz w:val="30"/>
          <w:szCs w:val="30"/>
          <w:u w:val="none"/>
          <w:bdr w:val="none" w:color="auto" w:sz="0" w:space="0"/>
        </w:rPr>
        <w:t>安徽创汇土木工程有限公司信息公开实施细则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center"/>
        <w:rPr>
          <w:rFonts w:hint="eastAsia" w:ascii="宋体" w:hAnsi="宋体" w:eastAsia="宋体" w:cs="宋体"/>
          <w:i w:val="0"/>
          <w:caps w:val="0"/>
          <w:color w:val="333333"/>
          <w:spacing w:val="0"/>
          <w:sz w:val="19"/>
          <w:szCs w:val="19"/>
          <w:u w:val="none"/>
        </w:rPr>
      </w:pPr>
      <w:r>
        <w:rPr>
          <w:rFonts w:hint="eastAsia" w:ascii="微软雅黑" w:hAnsi="微软雅黑" w:eastAsia="微软雅黑" w:cs="微软雅黑"/>
          <w:i w:val="0"/>
          <w:caps w:val="0"/>
          <w:color w:val="333333"/>
          <w:spacing w:val="0"/>
          <w:sz w:val="19"/>
          <w:szCs w:val="19"/>
          <w:u w:val="none"/>
          <w:bdr w:val="none" w:color="auto" w:sz="0" w:space="0"/>
        </w:rPr>
        <w:t> 第一章  总 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kern w:val="0"/>
          <w:sz w:val="19"/>
          <w:szCs w:val="19"/>
          <w:u w:val="none"/>
          <w:bdr w:val="none" w:color="auto" w:sz="0" w:space="0"/>
          <w:lang w:val="en-US" w:eastAsia="zh-CN" w:bidi="ar"/>
        </w:rPr>
        <w:t>    第一条</w:t>
      </w:r>
      <w:r>
        <w:rPr>
          <w:rFonts w:hint="eastAsia" w:ascii="宋体" w:hAnsi="宋体" w:eastAsia="宋体" w:cs="宋体"/>
          <w:i w:val="0"/>
          <w:caps w:val="0"/>
          <w:color w:val="333333"/>
          <w:spacing w:val="0"/>
          <w:kern w:val="0"/>
          <w:sz w:val="19"/>
          <w:szCs w:val="19"/>
          <w:u w:val="none"/>
          <w:bdr w:val="none" w:color="auto" w:sz="0" w:space="0"/>
          <w:lang w:val="en-US" w:eastAsia="zh-CN" w:bidi="ar"/>
        </w:rPr>
        <w:t xml:space="preserve"> 为加强和规范安徽创汇土木工程有限公司（以下简称公司）的信息公开工作，依据《中华人民共和国政府信息公开条例》等国家有关法律法规和《安徽省国资委关于推进省属企业信息公开的指导意见》、参照《安徽省引江济淮集团有限公司信息公开管理办法》（皖引江综函〔2021〕538号）、《安徽省水利水电勘测设计研究总院有限公司信息公开管理办法》（总院办〔2022〕150号），结合公司实际情况，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第二条</w:t>
      </w:r>
      <w:r>
        <w:rPr>
          <w:rFonts w:hint="eastAsia" w:ascii="宋体" w:hAnsi="宋体" w:eastAsia="宋体" w:cs="宋体"/>
          <w:i w:val="0"/>
          <w:caps w:val="0"/>
          <w:color w:val="333333"/>
          <w:spacing w:val="0"/>
          <w:sz w:val="19"/>
          <w:szCs w:val="19"/>
          <w:u w:val="none"/>
          <w:bdr w:val="none" w:color="auto" w:sz="0" w:space="0"/>
        </w:rPr>
        <w:t xml:space="preserve"> 本办法所称信息，是指公司在从事生产经营活动过程中形成的涉及公众切身利益的企业信息，以及法律法规明确规定应当公开的企业信息。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第二章  信息公开的原则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第三条</w:t>
      </w:r>
      <w:r>
        <w:rPr>
          <w:rFonts w:hint="eastAsia" w:ascii="宋体" w:hAnsi="宋体" w:eastAsia="宋体" w:cs="宋体"/>
          <w:i w:val="0"/>
          <w:caps w:val="0"/>
          <w:color w:val="333333"/>
          <w:spacing w:val="0"/>
          <w:sz w:val="19"/>
          <w:szCs w:val="19"/>
          <w:u w:val="none"/>
          <w:bdr w:val="none" w:color="auto" w:sz="0" w:space="0"/>
        </w:rPr>
        <w:t xml:space="preserve"> 信息公开应遵循下列基本原则：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（一）坚持依法合规。坚决遵守国家法律法规和上级主管单位相关规定，严格保护国家秘密、商业秘密和公司秘密安全，不得危及国家安全、公共安全、经济安全和社会稳定。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（二）强化责任落实。公司按照“谁形成谁公开，谁公开谁负责”的要求，信息公开的责任主体对所公开的信息负责。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（三）确保真实准确。遵循公正、公平、便民、及时、准确的原则，确保公开的信息内容真实、数据准确、公开及时，不得有虚假记载、误导性陈述或者重大遗漏。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第三章  信息公开的主体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第四条</w:t>
      </w:r>
      <w:r>
        <w:rPr>
          <w:rFonts w:hint="eastAsia" w:ascii="宋体" w:hAnsi="宋体" w:eastAsia="宋体" w:cs="宋体"/>
          <w:i w:val="0"/>
          <w:caps w:val="0"/>
          <w:color w:val="333333"/>
          <w:spacing w:val="0"/>
          <w:sz w:val="19"/>
          <w:szCs w:val="19"/>
          <w:u w:val="none"/>
          <w:bdr w:val="none" w:color="auto" w:sz="0" w:space="0"/>
        </w:rPr>
        <w:t xml:space="preserve"> 办公室是信息公开管理工作的归口部门，主要职责包括：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（一）制定信息公开管理相关制度；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（二）组织和协调拟公开信息的收集与汇总；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（三）确定信息公开渠道载体，明确对外发布信息责任主体（详见附件）；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（四）监测信息公开工作的开展运行情况；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（五）负责信息公开相关文件、资料的管理；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（六）牵头开展信息公开相关的其他工作。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第五条</w:t>
      </w:r>
      <w:r>
        <w:rPr>
          <w:rFonts w:hint="eastAsia" w:ascii="宋体" w:hAnsi="宋体" w:eastAsia="宋体" w:cs="宋体"/>
          <w:i w:val="0"/>
          <w:caps w:val="0"/>
          <w:color w:val="333333"/>
          <w:spacing w:val="0"/>
          <w:sz w:val="19"/>
          <w:szCs w:val="19"/>
          <w:u w:val="none"/>
          <w:bdr w:val="none" w:color="auto" w:sz="0" w:space="0"/>
        </w:rPr>
        <w:t>各部门负责职责范围内拟公开信息的采集、整理、编制与报送，由信息公开责任主体负责发布。责任主体部门明确一名部门负责人对相应信息公开栏负责，并报办公室备案。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第四章  信息公开的内容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第六条</w:t>
      </w:r>
      <w:r>
        <w:rPr>
          <w:rFonts w:hint="eastAsia" w:ascii="宋体" w:hAnsi="宋体" w:eastAsia="宋体" w:cs="宋体"/>
          <w:i w:val="0"/>
          <w:caps w:val="0"/>
          <w:color w:val="333333"/>
          <w:spacing w:val="0"/>
          <w:sz w:val="19"/>
          <w:szCs w:val="19"/>
          <w:u w:val="none"/>
          <w:bdr w:val="none" w:color="auto" w:sz="0" w:space="0"/>
        </w:rPr>
        <w:t xml:space="preserve"> 信息公开内容依照《安徽省属企业信息公开基本目录规范》等文件要求确定。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第七条</w:t>
      </w:r>
      <w:r>
        <w:rPr>
          <w:rFonts w:hint="eastAsia" w:ascii="宋体" w:hAnsi="宋体" w:eastAsia="宋体" w:cs="宋体"/>
          <w:i w:val="0"/>
          <w:caps w:val="0"/>
          <w:color w:val="333333"/>
          <w:spacing w:val="0"/>
          <w:sz w:val="19"/>
          <w:szCs w:val="19"/>
          <w:u w:val="none"/>
          <w:bdr w:val="none" w:color="auto" w:sz="0" w:space="0"/>
        </w:rPr>
        <w:t>信息公开具体包括下列内容：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（一）企业简介、机构领导等企业信息；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（二）企业经营情况、国有资产保值增值、财务状况等经济信息；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（三）重大决策、重大人事任免、重大项目安排、大额资金运作等“三重一大”事项；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（四）企业社会责任履行情况；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（五）有关部门依法要求公开的监督检查问题整改落实情况；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（六）企业党建信息；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（七）其他依照法律法规规定应当主动公开的信息。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第八条</w:t>
      </w:r>
      <w:r>
        <w:rPr>
          <w:rFonts w:hint="eastAsia" w:ascii="宋体" w:hAnsi="宋体" w:eastAsia="宋体" w:cs="宋体"/>
          <w:i w:val="0"/>
          <w:caps w:val="0"/>
          <w:color w:val="333333"/>
          <w:spacing w:val="0"/>
          <w:sz w:val="19"/>
          <w:szCs w:val="19"/>
          <w:u w:val="none"/>
          <w:bdr w:val="none" w:color="auto" w:sz="0" w:space="0"/>
        </w:rPr>
        <w:t xml:space="preserve"> 公司对下列信息不予公开：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（一）涉及国家秘密的；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（二）涉及商业秘密的；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（三）涉及个人隐私的；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（四）法律、法规和规章以及公司规定的不予公开的其他信息。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第五章  信息公开形式与审批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第九条</w:t>
      </w:r>
      <w:r>
        <w:rPr>
          <w:rFonts w:hint="eastAsia" w:ascii="宋体" w:hAnsi="宋体" w:eastAsia="宋体" w:cs="宋体"/>
          <w:i w:val="0"/>
          <w:caps w:val="0"/>
          <w:color w:val="333333"/>
          <w:spacing w:val="0"/>
          <w:sz w:val="19"/>
          <w:szCs w:val="19"/>
          <w:u w:val="none"/>
          <w:bdr w:val="none" w:color="auto" w:sz="0" w:space="0"/>
        </w:rPr>
        <w:t>根据拟公开信息的内容选择信息公开形式，具体包括：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（一）公司官网信息公开栏；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（二）总院公司网站等平台；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（三）国家及省内主流媒体。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第十条</w:t>
      </w:r>
      <w:r>
        <w:rPr>
          <w:rFonts w:hint="eastAsia" w:ascii="宋体" w:hAnsi="宋体" w:eastAsia="宋体" w:cs="宋体"/>
          <w:i w:val="0"/>
          <w:caps w:val="0"/>
          <w:color w:val="333333"/>
          <w:spacing w:val="0"/>
          <w:sz w:val="19"/>
          <w:szCs w:val="19"/>
          <w:u w:val="none"/>
          <w:bdr w:val="none" w:color="auto" w:sz="0" w:space="0"/>
        </w:rPr>
        <w:t>拟公开信息应严格履行审批流程。公开信息由责任主体通过信息公开流程办理审批后发布，信息内容须经责任主体负责人审核后报公司领导审定。未经公司领导审签的信息内容一律不得对外发布。涉及敏感保密信息的，报公司办公室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第六章  监督和保障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第十一条</w:t>
      </w:r>
      <w:r>
        <w:rPr>
          <w:rFonts w:hint="eastAsia" w:ascii="宋体" w:hAnsi="宋体" w:eastAsia="宋体" w:cs="宋体"/>
          <w:i w:val="0"/>
          <w:caps w:val="0"/>
          <w:color w:val="333333"/>
          <w:spacing w:val="0"/>
          <w:sz w:val="19"/>
          <w:szCs w:val="19"/>
          <w:u w:val="none"/>
          <w:bdr w:val="none" w:color="auto" w:sz="0" w:space="0"/>
        </w:rPr>
        <w:t xml:space="preserve"> 对违反本办法规定，有下列情形之一的，由公司责令改正；情节严重的，对相关责任人员依法、依纪作出处理：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（一）未经公司批准私自对外公开企业信息的；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（二）公开的信息有虚假记载、误导性陈述或重大遗漏的；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2"/>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（三）违反有关信息公开的法律法规和本办法规定的其他行为。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第十二条</w:t>
      </w:r>
      <w:r>
        <w:rPr>
          <w:rFonts w:hint="eastAsia" w:ascii="宋体" w:hAnsi="宋体" w:eastAsia="宋体" w:cs="宋体"/>
          <w:i w:val="0"/>
          <w:caps w:val="0"/>
          <w:color w:val="333333"/>
          <w:spacing w:val="0"/>
          <w:sz w:val="19"/>
          <w:szCs w:val="19"/>
          <w:u w:val="none"/>
          <w:bdr w:val="none" w:color="auto" w:sz="0" w:space="0"/>
        </w:rPr>
        <w:t>信息公开工作所需经费纳入公司年度预算中予以统筹保障。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第七章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第十三条</w:t>
      </w:r>
      <w:r>
        <w:rPr>
          <w:rFonts w:hint="eastAsia" w:ascii="宋体" w:hAnsi="宋体" w:eastAsia="宋体" w:cs="宋体"/>
          <w:i w:val="0"/>
          <w:caps w:val="0"/>
          <w:color w:val="333333"/>
          <w:spacing w:val="0"/>
          <w:sz w:val="19"/>
          <w:szCs w:val="19"/>
          <w:u w:val="none"/>
          <w:bdr w:val="none" w:color="auto" w:sz="0" w:space="0"/>
        </w:rPr>
        <w:t>本办法适用于公司各部门。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第十四条</w:t>
      </w:r>
      <w:r>
        <w:rPr>
          <w:rFonts w:hint="eastAsia" w:ascii="宋体" w:hAnsi="宋体" w:eastAsia="宋体" w:cs="宋体"/>
          <w:i w:val="0"/>
          <w:caps w:val="0"/>
          <w:color w:val="333333"/>
          <w:spacing w:val="0"/>
          <w:sz w:val="19"/>
          <w:szCs w:val="19"/>
          <w:u w:val="none"/>
          <w:bdr w:val="none" w:color="auto" w:sz="0" w:space="0"/>
        </w:rPr>
        <w:t>本办法关于企业信息公开管理的未尽事宜，应严格按照有关信息公开的法律法规执行。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4"/>
        <w:jc w:val="left"/>
        <w:rPr>
          <w:rFonts w:hint="eastAsia" w:ascii="宋体" w:hAnsi="宋体" w:eastAsia="宋体" w:cs="宋体"/>
          <w:i w:val="0"/>
          <w:caps w:val="0"/>
          <w:color w:val="333333"/>
          <w:spacing w:val="0"/>
          <w:sz w:val="19"/>
          <w:szCs w:val="19"/>
          <w:u w:val="none"/>
        </w:rPr>
      </w:pPr>
      <w:r>
        <w:rPr>
          <w:rStyle w:val="5"/>
          <w:rFonts w:hint="eastAsia" w:ascii="宋体" w:hAnsi="宋体" w:eastAsia="宋体" w:cs="宋体"/>
          <w:b/>
          <w:i w:val="0"/>
          <w:caps w:val="0"/>
          <w:color w:val="333333"/>
          <w:spacing w:val="0"/>
          <w:sz w:val="19"/>
          <w:szCs w:val="19"/>
          <w:u w:val="none"/>
          <w:bdr w:val="none" w:color="auto" w:sz="0" w:space="0"/>
        </w:rPr>
        <w:t>第十五条</w:t>
      </w:r>
      <w:r>
        <w:rPr>
          <w:rFonts w:hint="eastAsia" w:ascii="宋体" w:hAnsi="宋体" w:eastAsia="宋体" w:cs="宋体"/>
          <w:i w:val="0"/>
          <w:caps w:val="0"/>
          <w:color w:val="333333"/>
          <w:spacing w:val="0"/>
          <w:sz w:val="19"/>
          <w:szCs w:val="19"/>
          <w:u w:val="none"/>
          <w:bdr w:val="none" w:color="auto" w:sz="0" w:space="0"/>
        </w:rPr>
        <w:t xml:space="preserve"> 本办法由公司办公室负责解释，自印发之日起施行。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sz w:val="19"/>
          <w:szCs w:val="19"/>
          <w:u w:val="none"/>
          <w:bdr w:val="none" w:color="auto" w:sz="0" w:space="0"/>
        </w:rPr>
        <w:t>附件：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kern w:val="0"/>
          <w:sz w:val="19"/>
          <w:szCs w:val="19"/>
          <w:u w:val="none"/>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kern w:val="0"/>
          <w:sz w:val="19"/>
          <w:szCs w:val="19"/>
          <w:u w:val="none"/>
          <w:bdr w:val="none" w:color="auto" w:sz="0" w:space="0"/>
          <w:lang w:val="en-US" w:eastAsia="zh-CN" w:bidi="ar"/>
        </w:rPr>
        <w:t>公司信息公开内容责任分解表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kern w:val="0"/>
          <w:sz w:val="19"/>
          <w:szCs w:val="19"/>
          <w:u w:val="none"/>
          <w:bdr w:val="none" w:color="auto" w:sz="0" w:space="0"/>
          <w:lang w:val="en-US" w:eastAsia="zh-CN" w:bidi="ar"/>
        </w:rPr>
        <w:t> </w:t>
      </w:r>
    </w:p>
    <w:tbl>
      <w:tblPr>
        <w:tblW w:w="9552" w:type="dxa"/>
        <w:tblInd w:w="-581" w:type="dxa"/>
        <w:tblBorders>
          <w:top w:val="none" w:color="333333" w:sz="3" w:space="0"/>
          <w:left w:val="none" w:color="333333" w:sz="3" w:space="0"/>
          <w:bottom w:val="none" w:color="333333" w:sz="3" w:space="0"/>
          <w:right w:val="none" w:color="333333" w:sz="3" w:space="0"/>
          <w:insideH w:val="outset" w:color="auto" w:sz="6" w:space="0"/>
          <w:insideV w:val="outset" w:color="auto" w:sz="6" w:space="0"/>
        </w:tblBorders>
        <w:shd w:val="clear"/>
        <w:tblLayout w:type="fixed"/>
        <w:tblCellMar>
          <w:top w:w="0" w:type="dxa"/>
          <w:left w:w="0" w:type="dxa"/>
          <w:bottom w:w="0" w:type="dxa"/>
          <w:right w:w="0" w:type="dxa"/>
        </w:tblCellMar>
      </w:tblPr>
      <w:tblGrid>
        <w:gridCol w:w="1873"/>
        <w:gridCol w:w="5728"/>
        <w:gridCol w:w="1951"/>
      </w:tblGrid>
      <w:tr>
        <w:tblPrEx>
          <w:tblBorders>
            <w:top w:val="none" w:color="333333" w:sz="3" w:space="0"/>
            <w:left w:val="none" w:color="333333" w:sz="3" w:space="0"/>
            <w:bottom w:val="none" w:color="333333" w:sz="3" w:space="0"/>
            <w:right w:val="none" w:color="333333" w:sz="3" w:space="0"/>
            <w:insideH w:val="outset" w:color="auto" w:sz="6" w:space="0"/>
            <w:insideV w:val="outset" w:color="auto" w:sz="6" w:space="0"/>
          </w:tblBorders>
          <w:shd w:val="clear"/>
          <w:tblLayout w:type="fixed"/>
          <w:tblCellMar>
            <w:top w:w="0" w:type="dxa"/>
            <w:left w:w="0" w:type="dxa"/>
            <w:bottom w:w="0" w:type="dxa"/>
            <w:right w:w="0" w:type="dxa"/>
          </w:tblCellMar>
        </w:tblPrEx>
        <w:trPr>
          <w:trHeight w:val="367" w:hRule="atLeast"/>
        </w:trPr>
        <w:tc>
          <w:tcPr>
            <w:tcW w:w="1873"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bookmarkStart w:id="0" w:name="_GoBack"/>
            <w:r>
              <w:rPr>
                <w:rStyle w:val="5"/>
                <w:rFonts w:hint="eastAsia" w:ascii="宋体" w:hAnsi="宋体" w:eastAsia="宋体" w:cs="宋体"/>
                <w:b/>
                <w:i w:val="0"/>
                <w:caps w:val="0"/>
                <w:color w:val="333333"/>
                <w:spacing w:val="0"/>
                <w:kern w:val="0"/>
                <w:sz w:val="22"/>
                <w:szCs w:val="22"/>
                <w:u w:val="none"/>
                <w:bdr w:val="none" w:color="auto" w:sz="0" w:space="0"/>
                <w:lang w:val="en-US" w:eastAsia="zh-CN" w:bidi="ar"/>
              </w:rPr>
              <w:t>类  别</w:t>
            </w:r>
          </w:p>
        </w:tc>
        <w:tc>
          <w:tcPr>
            <w:tcW w:w="5728"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宋体" w:hAnsi="宋体" w:eastAsia="宋体" w:cs="宋体"/>
                <w:b/>
                <w:i w:val="0"/>
                <w:caps w:val="0"/>
                <w:color w:val="333333"/>
                <w:spacing w:val="0"/>
                <w:kern w:val="0"/>
                <w:sz w:val="22"/>
                <w:szCs w:val="22"/>
                <w:u w:val="none"/>
                <w:bdr w:val="none" w:color="auto" w:sz="0" w:space="0"/>
                <w:lang w:val="en-US" w:eastAsia="zh-CN" w:bidi="ar"/>
              </w:rPr>
              <w:t>主要内容</w:t>
            </w:r>
          </w:p>
        </w:tc>
        <w:tc>
          <w:tcPr>
            <w:tcW w:w="1951"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宋体" w:hAnsi="宋体" w:eastAsia="宋体" w:cs="宋体"/>
                <w:b/>
                <w:i w:val="0"/>
                <w:caps w:val="0"/>
                <w:color w:val="333333"/>
                <w:spacing w:val="0"/>
                <w:kern w:val="0"/>
                <w:sz w:val="22"/>
                <w:szCs w:val="22"/>
                <w:u w:val="none"/>
                <w:bdr w:val="none" w:color="auto" w:sz="0" w:space="0"/>
                <w:lang w:val="en-US" w:eastAsia="zh-CN" w:bidi="ar"/>
              </w:rPr>
              <w:t>责任主体</w:t>
            </w:r>
          </w:p>
        </w:tc>
      </w:tr>
      <w:tr>
        <w:tblPrEx>
          <w:tblBorders>
            <w:top w:val="none" w:color="333333" w:sz="3" w:space="0"/>
            <w:left w:val="none" w:color="333333" w:sz="3" w:space="0"/>
            <w:bottom w:val="none" w:color="333333" w:sz="3" w:space="0"/>
            <w:right w:val="none" w:color="333333" w:sz="3" w:space="0"/>
            <w:insideH w:val="outset" w:color="auto" w:sz="6" w:space="0"/>
            <w:insideV w:val="outset" w:color="auto" w:sz="6" w:space="0"/>
          </w:tblBorders>
          <w:tblLayout w:type="fixed"/>
          <w:tblCellMar>
            <w:top w:w="0" w:type="dxa"/>
            <w:left w:w="0" w:type="dxa"/>
            <w:bottom w:w="0" w:type="dxa"/>
            <w:right w:w="0" w:type="dxa"/>
          </w:tblCellMar>
        </w:tblPrEx>
        <w:trPr>
          <w:trHeight w:val="367" w:hRule="atLeast"/>
        </w:trPr>
        <w:tc>
          <w:tcPr>
            <w:tcW w:w="1873"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仿宋_GB2312" w:hAnsi="宋体" w:eastAsia="仿宋_GB2312" w:cs="仿宋_GB2312"/>
                <w:i w:val="0"/>
                <w:caps w:val="0"/>
                <w:color w:val="333333"/>
                <w:spacing w:val="0"/>
                <w:kern w:val="0"/>
                <w:sz w:val="22"/>
                <w:szCs w:val="22"/>
                <w:u w:val="none"/>
                <w:bdr w:val="none" w:color="auto" w:sz="0" w:space="0"/>
                <w:lang w:val="en-US" w:eastAsia="zh-CN" w:bidi="ar"/>
              </w:rPr>
              <w:t>企业信息</w:t>
            </w:r>
          </w:p>
        </w:tc>
        <w:tc>
          <w:tcPr>
            <w:tcW w:w="5728"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_GB2312" w:hAnsi="宋体" w:eastAsia="仿宋_GB2312" w:cs="仿宋_GB2312"/>
                <w:i w:val="0"/>
                <w:caps w:val="0"/>
                <w:color w:val="333333"/>
                <w:spacing w:val="0"/>
                <w:kern w:val="0"/>
                <w:sz w:val="22"/>
                <w:szCs w:val="22"/>
                <w:u w:val="none"/>
                <w:bdr w:val="none" w:color="auto" w:sz="0" w:space="0"/>
                <w:lang w:val="en-US" w:eastAsia="zh-CN" w:bidi="ar"/>
              </w:rPr>
              <w:t>企业简介、机构领导等企业信息</w:t>
            </w:r>
          </w:p>
        </w:tc>
        <w:tc>
          <w:tcPr>
            <w:tcW w:w="1951"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bdr w:val="none" w:color="auto" w:sz="0" w:space="0"/>
                <w:lang w:val="en-US" w:eastAsia="zh-CN" w:bidi="ar"/>
              </w:rPr>
              <w:t>办公室</w:t>
            </w:r>
          </w:p>
        </w:tc>
      </w:tr>
      <w:tr>
        <w:tblPrEx>
          <w:tblBorders>
            <w:top w:val="none" w:color="333333" w:sz="3" w:space="0"/>
            <w:left w:val="none" w:color="333333" w:sz="3" w:space="0"/>
            <w:bottom w:val="none" w:color="333333" w:sz="3" w:space="0"/>
            <w:right w:val="none" w:color="333333" w:sz="3" w:space="0"/>
            <w:insideH w:val="outset" w:color="auto" w:sz="6" w:space="0"/>
            <w:insideV w:val="outset" w:color="auto" w:sz="6" w:space="0"/>
          </w:tblBorders>
          <w:tblLayout w:type="fixed"/>
          <w:tblCellMar>
            <w:top w:w="0" w:type="dxa"/>
            <w:left w:w="0" w:type="dxa"/>
            <w:bottom w:w="0" w:type="dxa"/>
            <w:right w:w="0" w:type="dxa"/>
          </w:tblCellMar>
        </w:tblPrEx>
        <w:trPr>
          <w:trHeight w:val="367" w:hRule="atLeast"/>
        </w:trPr>
        <w:tc>
          <w:tcPr>
            <w:tcW w:w="1873"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bdr w:val="none" w:color="auto" w:sz="0" w:space="0"/>
                <w:lang w:val="en-US" w:eastAsia="zh-CN" w:bidi="ar"/>
              </w:rPr>
              <w:t>经济信息</w:t>
            </w:r>
          </w:p>
        </w:tc>
        <w:tc>
          <w:tcPr>
            <w:tcW w:w="5728"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_GB2312" w:hAnsi="宋体" w:eastAsia="仿宋_GB2312" w:cs="仿宋_GB2312"/>
                <w:i w:val="0"/>
                <w:caps w:val="0"/>
                <w:color w:val="333333"/>
                <w:spacing w:val="0"/>
                <w:kern w:val="0"/>
                <w:sz w:val="22"/>
                <w:szCs w:val="22"/>
                <w:u w:val="none"/>
                <w:bdr w:val="none" w:color="auto" w:sz="0" w:space="0"/>
                <w:lang w:val="en-US" w:eastAsia="zh-CN" w:bidi="ar"/>
              </w:rPr>
              <w:t>企业经营情况、国有资产保值增值、财务状况等经济信息</w:t>
            </w:r>
          </w:p>
        </w:tc>
        <w:tc>
          <w:tcPr>
            <w:tcW w:w="1951"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bdr w:val="none" w:color="auto" w:sz="0" w:space="0"/>
                <w:lang w:val="en-US" w:eastAsia="zh-CN" w:bidi="ar"/>
              </w:rPr>
              <w:t>办公室、财务管理部</w:t>
            </w:r>
          </w:p>
        </w:tc>
      </w:tr>
      <w:tr>
        <w:tblPrEx>
          <w:tblBorders>
            <w:top w:val="none" w:color="333333" w:sz="3" w:space="0"/>
            <w:left w:val="none" w:color="333333" w:sz="3" w:space="0"/>
            <w:bottom w:val="none" w:color="333333" w:sz="3" w:space="0"/>
            <w:right w:val="none" w:color="333333" w:sz="3" w:space="0"/>
            <w:insideH w:val="outset" w:color="auto" w:sz="6" w:space="0"/>
            <w:insideV w:val="outset" w:color="auto" w:sz="6" w:space="0"/>
          </w:tblBorders>
          <w:shd w:val="clear"/>
          <w:tblLayout w:type="fixed"/>
          <w:tblCellMar>
            <w:top w:w="0" w:type="dxa"/>
            <w:left w:w="0" w:type="dxa"/>
            <w:bottom w:w="0" w:type="dxa"/>
            <w:right w:w="0" w:type="dxa"/>
          </w:tblCellMar>
        </w:tblPrEx>
        <w:trPr>
          <w:trHeight w:val="367" w:hRule="atLeast"/>
        </w:trPr>
        <w:tc>
          <w:tcPr>
            <w:tcW w:w="1873"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bdr w:val="none" w:color="auto" w:sz="0" w:space="0"/>
                <w:lang w:val="en-US" w:eastAsia="zh-CN" w:bidi="ar"/>
              </w:rPr>
              <w:t>“三重一大”事项</w:t>
            </w:r>
          </w:p>
        </w:tc>
        <w:tc>
          <w:tcPr>
            <w:tcW w:w="5728"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_GB2312" w:hAnsi="宋体" w:eastAsia="仿宋_GB2312" w:cs="仿宋_GB2312"/>
                <w:i w:val="0"/>
                <w:caps w:val="0"/>
                <w:color w:val="333333"/>
                <w:spacing w:val="0"/>
                <w:kern w:val="0"/>
                <w:sz w:val="22"/>
                <w:szCs w:val="22"/>
                <w:u w:val="none"/>
                <w:bdr w:val="none" w:color="auto" w:sz="0" w:space="0"/>
                <w:lang w:val="en-US" w:eastAsia="zh-CN" w:bidi="ar"/>
              </w:rPr>
              <w:t>重大决策、重大人事任免、重大项目安排、大额资金运作等“三重一大”事项</w:t>
            </w:r>
          </w:p>
        </w:tc>
        <w:tc>
          <w:tcPr>
            <w:tcW w:w="1951"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bdr w:val="none" w:color="auto" w:sz="0" w:space="0"/>
                <w:lang w:val="en-US" w:eastAsia="zh-CN" w:bidi="ar"/>
              </w:rPr>
              <w:t>办公室</w:t>
            </w:r>
          </w:p>
        </w:tc>
      </w:tr>
      <w:tr>
        <w:tblPrEx>
          <w:tblBorders>
            <w:top w:val="none" w:color="333333" w:sz="3" w:space="0"/>
            <w:left w:val="none" w:color="333333" w:sz="3" w:space="0"/>
            <w:bottom w:val="none" w:color="333333" w:sz="3" w:space="0"/>
            <w:right w:val="none" w:color="333333" w:sz="3" w:space="0"/>
            <w:insideH w:val="outset" w:color="auto" w:sz="6" w:space="0"/>
            <w:insideV w:val="outset" w:color="auto" w:sz="6" w:space="0"/>
          </w:tblBorders>
          <w:tblLayout w:type="fixed"/>
          <w:tblCellMar>
            <w:top w:w="0" w:type="dxa"/>
            <w:left w:w="0" w:type="dxa"/>
            <w:bottom w:w="0" w:type="dxa"/>
            <w:right w:w="0" w:type="dxa"/>
          </w:tblCellMar>
        </w:tblPrEx>
        <w:trPr>
          <w:trHeight w:val="367" w:hRule="atLeast"/>
        </w:trPr>
        <w:tc>
          <w:tcPr>
            <w:tcW w:w="1873"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bdr w:val="none" w:color="auto" w:sz="0" w:space="0"/>
                <w:lang w:val="en-US" w:eastAsia="zh-CN" w:bidi="ar"/>
              </w:rPr>
              <w:t>社会责任履行</w:t>
            </w:r>
          </w:p>
        </w:tc>
        <w:tc>
          <w:tcPr>
            <w:tcW w:w="5728"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_GB2312" w:hAnsi="宋体" w:eastAsia="仿宋_GB2312" w:cs="仿宋_GB2312"/>
                <w:i w:val="0"/>
                <w:caps w:val="0"/>
                <w:color w:val="333333"/>
                <w:spacing w:val="0"/>
                <w:kern w:val="0"/>
                <w:sz w:val="22"/>
                <w:szCs w:val="22"/>
                <w:u w:val="none"/>
                <w:bdr w:val="none" w:color="auto" w:sz="0" w:space="0"/>
                <w:lang w:val="en-US" w:eastAsia="zh-CN" w:bidi="ar"/>
              </w:rPr>
              <w:t>企业社会责任履行情况</w:t>
            </w:r>
          </w:p>
        </w:tc>
        <w:tc>
          <w:tcPr>
            <w:tcW w:w="1951"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bdr w:val="none" w:color="auto" w:sz="0" w:space="0"/>
                <w:lang w:val="en-US" w:eastAsia="zh-CN" w:bidi="ar"/>
              </w:rPr>
              <w:t>办公室</w:t>
            </w:r>
          </w:p>
        </w:tc>
      </w:tr>
      <w:tr>
        <w:tblPrEx>
          <w:tblBorders>
            <w:top w:val="none" w:color="333333" w:sz="3" w:space="0"/>
            <w:left w:val="none" w:color="333333" w:sz="3" w:space="0"/>
            <w:bottom w:val="none" w:color="333333" w:sz="3" w:space="0"/>
            <w:right w:val="none" w:color="333333" w:sz="3" w:space="0"/>
            <w:insideH w:val="outset" w:color="auto" w:sz="6" w:space="0"/>
            <w:insideV w:val="outset" w:color="auto" w:sz="6" w:space="0"/>
          </w:tblBorders>
          <w:shd w:val="clear"/>
          <w:tblLayout w:type="fixed"/>
          <w:tblCellMar>
            <w:top w:w="0" w:type="dxa"/>
            <w:left w:w="0" w:type="dxa"/>
            <w:bottom w:w="0" w:type="dxa"/>
            <w:right w:w="0" w:type="dxa"/>
          </w:tblCellMar>
        </w:tblPrEx>
        <w:trPr>
          <w:trHeight w:val="367" w:hRule="atLeast"/>
        </w:trPr>
        <w:tc>
          <w:tcPr>
            <w:tcW w:w="1873"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bdr w:val="none" w:color="auto" w:sz="0" w:space="0"/>
                <w:lang w:val="en-US" w:eastAsia="zh-CN" w:bidi="ar"/>
              </w:rPr>
              <w:t>整改落实情况</w:t>
            </w:r>
          </w:p>
        </w:tc>
        <w:tc>
          <w:tcPr>
            <w:tcW w:w="5728"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_GB2312" w:hAnsi="宋体" w:eastAsia="仿宋_GB2312" w:cs="仿宋_GB2312"/>
                <w:i w:val="0"/>
                <w:caps w:val="0"/>
                <w:color w:val="333333"/>
                <w:spacing w:val="0"/>
                <w:kern w:val="0"/>
                <w:sz w:val="22"/>
                <w:szCs w:val="22"/>
                <w:u w:val="none"/>
                <w:bdr w:val="none" w:color="auto" w:sz="0" w:space="0"/>
                <w:lang w:val="en-US" w:eastAsia="zh-CN" w:bidi="ar"/>
              </w:rPr>
              <w:t>有关部门依法要求公开的监督检查问题整改落实情况</w:t>
            </w:r>
          </w:p>
        </w:tc>
        <w:tc>
          <w:tcPr>
            <w:tcW w:w="1951"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bdr w:val="none" w:color="auto" w:sz="0" w:space="0"/>
                <w:lang w:val="en-US" w:eastAsia="zh-CN" w:bidi="ar"/>
              </w:rPr>
              <w:t>办公室</w:t>
            </w:r>
          </w:p>
        </w:tc>
      </w:tr>
      <w:tr>
        <w:tblPrEx>
          <w:tblBorders>
            <w:top w:val="none" w:color="333333" w:sz="3" w:space="0"/>
            <w:left w:val="none" w:color="333333" w:sz="3" w:space="0"/>
            <w:bottom w:val="none" w:color="333333" w:sz="3" w:space="0"/>
            <w:right w:val="none" w:color="333333" w:sz="3" w:space="0"/>
            <w:insideH w:val="outset" w:color="auto" w:sz="6" w:space="0"/>
            <w:insideV w:val="outset" w:color="auto" w:sz="6" w:space="0"/>
          </w:tblBorders>
          <w:tblLayout w:type="fixed"/>
          <w:tblCellMar>
            <w:top w:w="0" w:type="dxa"/>
            <w:left w:w="0" w:type="dxa"/>
            <w:bottom w:w="0" w:type="dxa"/>
            <w:right w:w="0" w:type="dxa"/>
          </w:tblCellMar>
        </w:tblPrEx>
        <w:trPr>
          <w:trHeight w:val="367" w:hRule="atLeast"/>
        </w:trPr>
        <w:tc>
          <w:tcPr>
            <w:tcW w:w="1873"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bdr w:val="none" w:color="auto" w:sz="0" w:space="0"/>
                <w:lang w:val="en-US" w:eastAsia="zh-CN" w:bidi="ar"/>
              </w:rPr>
              <w:t>企业党建</w:t>
            </w:r>
          </w:p>
        </w:tc>
        <w:tc>
          <w:tcPr>
            <w:tcW w:w="5728"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_GB2312" w:hAnsi="宋体" w:eastAsia="仿宋_GB2312" w:cs="仿宋_GB2312"/>
                <w:i w:val="0"/>
                <w:caps w:val="0"/>
                <w:color w:val="333333"/>
                <w:spacing w:val="0"/>
                <w:kern w:val="0"/>
                <w:sz w:val="22"/>
                <w:szCs w:val="22"/>
                <w:u w:val="none"/>
                <w:bdr w:val="none" w:color="auto" w:sz="0" w:space="0"/>
                <w:lang w:val="en-US" w:eastAsia="zh-CN" w:bidi="ar"/>
              </w:rPr>
              <w:t>企业党建信息</w:t>
            </w:r>
          </w:p>
        </w:tc>
        <w:tc>
          <w:tcPr>
            <w:tcW w:w="1951"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bdr w:val="none" w:color="auto" w:sz="0" w:space="0"/>
                <w:lang w:val="en-US" w:eastAsia="zh-CN" w:bidi="ar"/>
              </w:rPr>
              <w:t>办公室</w:t>
            </w:r>
          </w:p>
        </w:tc>
      </w:tr>
      <w:tr>
        <w:tblPrEx>
          <w:tblBorders>
            <w:top w:val="none" w:color="333333" w:sz="3" w:space="0"/>
            <w:left w:val="none" w:color="333333" w:sz="3" w:space="0"/>
            <w:bottom w:val="none" w:color="333333" w:sz="3" w:space="0"/>
            <w:right w:val="none" w:color="333333" w:sz="3" w:space="0"/>
            <w:insideH w:val="outset" w:color="auto" w:sz="6" w:space="0"/>
            <w:insideV w:val="outset" w:color="auto" w:sz="6" w:space="0"/>
          </w:tblBorders>
          <w:tblLayout w:type="fixed"/>
          <w:tblCellMar>
            <w:top w:w="0" w:type="dxa"/>
            <w:left w:w="0" w:type="dxa"/>
            <w:bottom w:w="0" w:type="dxa"/>
            <w:right w:w="0" w:type="dxa"/>
          </w:tblCellMar>
        </w:tblPrEx>
        <w:trPr>
          <w:trHeight w:val="384" w:hRule="atLeast"/>
        </w:trPr>
        <w:tc>
          <w:tcPr>
            <w:tcW w:w="1873"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bdr w:val="none" w:color="auto" w:sz="0" w:space="0"/>
                <w:lang w:val="en-US" w:eastAsia="zh-CN" w:bidi="ar"/>
              </w:rPr>
              <w:t>有关部门其他事项</w:t>
            </w:r>
          </w:p>
        </w:tc>
        <w:tc>
          <w:tcPr>
            <w:tcW w:w="5728"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_GB2312" w:hAnsi="宋体" w:eastAsia="仿宋_GB2312" w:cs="仿宋_GB2312"/>
                <w:i w:val="0"/>
                <w:caps w:val="0"/>
                <w:color w:val="333333"/>
                <w:spacing w:val="0"/>
                <w:kern w:val="0"/>
                <w:sz w:val="22"/>
                <w:szCs w:val="22"/>
                <w:u w:val="none"/>
                <w:bdr w:val="none" w:color="auto" w:sz="0" w:space="0"/>
                <w:lang w:val="en-US" w:eastAsia="zh-CN" w:bidi="ar"/>
              </w:rPr>
              <w:t>其他依照法律法规规定应当主动公开的信息（如人员招聘、招投标信息等）</w:t>
            </w:r>
          </w:p>
        </w:tc>
        <w:tc>
          <w:tcPr>
            <w:tcW w:w="1951"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宋体" w:eastAsia="仿宋_GB2312" w:cs="仿宋_GB2312"/>
                <w:i w:val="0"/>
                <w:caps w:val="0"/>
                <w:color w:val="333333"/>
                <w:spacing w:val="0"/>
                <w:kern w:val="0"/>
                <w:sz w:val="22"/>
                <w:szCs w:val="22"/>
                <w:u w:val="none"/>
                <w:bdr w:val="none" w:color="auto" w:sz="0" w:space="0"/>
                <w:lang w:val="en-US" w:eastAsia="zh-CN" w:bidi="ar"/>
              </w:rPr>
              <w:t>按照具体内容而定</w:t>
            </w:r>
          </w:p>
        </w:tc>
      </w:tr>
      <w:bookmarkEnd w:id="0"/>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宋体" w:hAnsi="宋体" w:eastAsia="宋体" w:cs="宋体"/>
          <w:i w:val="0"/>
          <w:caps w:val="0"/>
          <w:color w:val="333333"/>
          <w:spacing w:val="0"/>
          <w:sz w:val="19"/>
          <w:szCs w:val="19"/>
          <w:u w:val="none"/>
        </w:rPr>
      </w:pPr>
      <w:r>
        <w:rPr>
          <w:rFonts w:hint="eastAsia" w:ascii="宋体" w:hAnsi="宋体" w:eastAsia="宋体" w:cs="宋体"/>
          <w:i w:val="0"/>
          <w:caps w:val="0"/>
          <w:color w:val="333333"/>
          <w:spacing w:val="0"/>
          <w:kern w:val="0"/>
          <w:sz w:val="19"/>
          <w:szCs w:val="19"/>
          <w:u w:val="none"/>
          <w:bdr w:val="none" w:color="auto" w:sz="0" w:space="0"/>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544EA0"/>
    <w:rsid w:val="0B544EA0"/>
    <w:rsid w:val="62742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2022-11-10T02:24:00Z</dcterms:created>
  <dc:creator>Mrs.Wayne</dc:creator>
  <cp:lastModifiedBy>Mrs.Wayne</cp:lastModifiedBy>
  <dcterms:modified xsi:type="dcterms:W3CDTF">2022-11-10T02:25:27Z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